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FC" w:rsidRPr="00DB6ECC" w:rsidRDefault="006624A9" w:rsidP="006624A9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B6ECC">
        <w:rPr>
          <w:b/>
          <w:sz w:val="24"/>
          <w:szCs w:val="24"/>
        </w:rPr>
        <w:t xml:space="preserve">ПРАВИЛА </w:t>
      </w:r>
      <w:r w:rsidR="001F24FC" w:rsidRPr="00DB6ECC">
        <w:rPr>
          <w:b/>
          <w:sz w:val="24"/>
          <w:szCs w:val="24"/>
        </w:rPr>
        <w:t>ПЕРЕВОЗОК ГРУЗОВ АВТОМОБИЛЬНЫМ ТРАНСПОРТОМ (в ред. Постановлений Правит</w:t>
      </w:r>
      <w:r w:rsidR="0063053E" w:rsidRPr="00DB6ECC">
        <w:rPr>
          <w:b/>
          <w:sz w:val="24"/>
          <w:szCs w:val="24"/>
        </w:rPr>
        <w:t>ельства РФ от 30.12.2011 N 1208</w:t>
      </w:r>
      <w:r w:rsidR="001F24FC" w:rsidRPr="00DB6ECC">
        <w:rPr>
          <w:b/>
          <w:sz w:val="24"/>
          <w:szCs w:val="24"/>
        </w:rPr>
        <w:t xml:space="preserve"> от 09.01.2014 N 12 (ред. 18.05.2015))</w:t>
      </w:r>
    </w:p>
    <w:p w:rsidR="006624A9" w:rsidRDefault="006624A9" w:rsidP="006624A9">
      <w:pPr>
        <w:jc w:val="both"/>
      </w:pPr>
    </w:p>
    <w:p w:rsidR="001F24FC" w:rsidRDefault="001F24FC" w:rsidP="006624A9">
      <w:pPr>
        <w:jc w:val="both"/>
      </w:pPr>
      <w:r>
        <w:t>I. Общие положения</w:t>
      </w:r>
    </w:p>
    <w:p w:rsidR="001F24FC" w:rsidRDefault="001F24FC" w:rsidP="006624A9">
      <w:pPr>
        <w:pStyle w:val="a6"/>
        <w:numPr>
          <w:ilvl w:val="0"/>
          <w:numId w:val="5"/>
        </w:numPr>
        <w:spacing w:before="100" w:beforeAutospacing="1" w:after="100" w:afterAutospacing="1"/>
        <w:jc w:val="both"/>
      </w:pPr>
      <w:r>
        <w:t>Настоящие Правила устанавливают порядок организации перевозки различных видов грузов автомобильным транспортом, обеспечения сохранности грузов, транспортных средств и контейнеров, а также условия перевозки грузов и предоставления транспортных сре</w:t>
      </w:r>
      <w:proofErr w:type="gramStart"/>
      <w:r>
        <w:t>дств дл</w:t>
      </w:r>
      <w:proofErr w:type="gramEnd"/>
      <w:r>
        <w:t xml:space="preserve">я такой перевозки. </w:t>
      </w:r>
    </w:p>
    <w:p w:rsidR="001F24FC" w:rsidRDefault="001F24FC" w:rsidP="006624A9">
      <w:pPr>
        <w:pStyle w:val="a6"/>
        <w:numPr>
          <w:ilvl w:val="0"/>
          <w:numId w:val="5"/>
        </w:numPr>
        <w:spacing w:before="100" w:beforeAutospacing="1" w:after="100" w:afterAutospacing="1"/>
        <w:jc w:val="both"/>
      </w:pPr>
      <w:r>
        <w:t xml:space="preserve">Перевозка грузов автомобильным транспортом в международном сообщении по территории Российской Федерации осуществляется в соответствии с международными договорами Российской Федерации в области автомобильного транспорта, нормативными правовыми актами Российской Федерации и настоящими Правилами. </w:t>
      </w:r>
    </w:p>
    <w:p w:rsidR="001F24FC" w:rsidRDefault="001F24FC" w:rsidP="006624A9">
      <w:pPr>
        <w:pStyle w:val="a6"/>
        <w:numPr>
          <w:ilvl w:val="0"/>
          <w:numId w:val="5"/>
        </w:numPr>
        <w:spacing w:before="100" w:beforeAutospacing="1" w:after="100" w:afterAutospacing="1"/>
        <w:jc w:val="both"/>
      </w:pPr>
      <w:r>
        <w:t xml:space="preserve">Перевозка опасных грузов автомобильным транспортом в городском, пригородном и междугородном сообщении осуществляется в соответствии с требованиями, установленными приложениями A и B Европейского соглашения о международной дорожной перевозке опасных грузов от 30 сентября 1957 г. (ДОПОГ) и настоящими Правилами. </w:t>
      </w:r>
    </w:p>
    <w:p w:rsidR="001F24FC" w:rsidRDefault="001F24FC" w:rsidP="006624A9">
      <w:pPr>
        <w:pStyle w:val="a6"/>
        <w:numPr>
          <w:ilvl w:val="0"/>
          <w:numId w:val="5"/>
        </w:numPr>
        <w:spacing w:before="100" w:beforeAutospacing="1" w:after="100" w:afterAutospacing="1"/>
        <w:jc w:val="both"/>
      </w:pPr>
      <w:proofErr w:type="gramStart"/>
      <w:r>
        <w:t xml:space="preserve">Перевозка скоропортящихся грузов автомобильным транспортом в городском, пригородном и междугородном сообщении осуществляется в соответствии с требованиями, установленными Соглашением о международных перевозках скоропортящихся пищевых продуктов и о специальных транспортных средствах, предназначенных для этих перевозок, подписанным в г. Женеве 1 сентября 1970 г. (СПС), и настоящими Правилами. </w:t>
      </w:r>
      <w:proofErr w:type="gramEnd"/>
    </w:p>
    <w:p w:rsidR="001F24FC" w:rsidRDefault="001F24FC" w:rsidP="006624A9">
      <w:pPr>
        <w:pStyle w:val="a6"/>
        <w:numPr>
          <w:ilvl w:val="0"/>
          <w:numId w:val="5"/>
        </w:numPr>
        <w:spacing w:before="100" w:beforeAutospacing="1" w:after="100" w:afterAutospacing="1"/>
        <w:jc w:val="both"/>
      </w:pPr>
      <w:r>
        <w:t xml:space="preserve">В настоящих Правилах используются следующие понятия: </w:t>
      </w:r>
    </w:p>
    <w:p w:rsidR="006624A9" w:rsidRDefault="006624A9" w:rsidP="006624A9">
      <w:pPr>
        <w:spacing w:before="100" w:beforeAutospacing="1" w:after="100" w:afterAutospacing="1"/>
        <w:jc w:val="both"/>
      </w:pPr>
      <w:r>
        <w:t>«</w:t>
      </w:r>
      <w:r w:rsidR="001F24FC">
        <w:t>сопроводительная ведомость</w:t>
      </w:r>
      <w:r>
        <w:t>»</w:t>
      </w:r>
      <w:r w:rsidR="001F24FC">
        <w:t xml:space="preserve"> </w:t>
      </w:r>
      <w:r w:rsidR="004C5921" w:rsidRPr="004C5921">
        <w:t>—</w:t>
      </w:r>
      <w:r w:rsidR="001F24FC">
        <w:t xml:space="preserve"> документ, служащий для учета и контроля использования контейнера; </w:t>
      </w:r>
    </w:p>
    <w:p w:rsidR="001F24FC" w:rsidRDefault="006624A9" w:rsidP="006624A9">
      <w:pPr>
        <w:spacing w:before="100" w:beforeAutospacing="1" w:after="100" w:afterAutospacing="1"/>
        <w:jc w:val="both"/>
      </w:pPr>
      <w:r>
        <w:t>«</w:t>
      </w:r>
      <w:r w:rsidR="001F24FC">
        <w:t>партия груза</w:t>
      </w:r>
      <w:r>
        <w:t>»</w:t>
      </w:r>
      <w:r w:rsidR="001F24FC">
        <w:t xml:space="preserve"> </w:t>
      </w:r>
      <w:r w:rsidR="004C5921" w:rsidRPr="004C5921">
        <w:t>—</w:t>
      </w:r>
      <w:r w:rsidR="001F24FC">
        <w:t xml:space="preserve"> груз одного или нескольких наименований, перевозимый по одному товарораспорядительному документу; </w:t>
      </w:r>
    </w:p>
    <w:p w:rsidR="001F24FC" w:rsidRDefault="006624A9" w:rsidP="006624A9">
      <w:pPr>
        <w:spacing w:before="100" w:beforeAutospacing="1" w:after="100" w:afterAutospacing="1"/>
        <w:jc w:val="both"/>
      </w:pPr>
      <w:r>
        <w:t>«</w:t>
      </w:r>
      <w:r w:rsidR="001F24FC">
        <w:t>грузовое место</w:t>
      </w:r>
      <w:r>
        <w:t>»</w:t>
      </w:r>
      <w:r w:rsidR="001F24FC">
        <w:t xml:space="preserve"> </w:t>
      </w:r>
      <w:r w:rsidR="004C5921" w:rsidRPr="004C5921">
        <w:t>—</w:t>
      </w:r>
      <w:r w:rsidR="001F24FC">
        <w:t xml:space="preserve"> материальный объект, принятый для перевозки; </w:t>
      </w:r>
    </w:p>
    <w:p w:rsidR="006624A9" w:rsidRDefault="006624A9" w:rsidP="006624A9">
      <w:pPr>
        <w:spacing w:before="100" w:beforeAutospacing="1" w:after="100" w:afterAutospacing="1"/>
        <w:jc w:val="both"/>
      </w:pPr>
      <w:r>
        <w:t>«</w:t>
      </w:r>
      <w:r w:rsidR="001F24FC">
        <w:t>тяжел</w:t>
      </w:r>
      <w:r>
        <w:t>овесный груз»</w:t>
      </w:r>
      <w:r w:rsidR="001F24FC">
        <w:t xml:space="preserve"> </w:t>
      </w:r>
      <w:r w:rsidR="004C5921" w:rsidRPr="004C5921">
        <w:t>—</w:t>
      </w:r>
      <w:r w:rsidR="001F24FC">
        <w:t xml:space="preserve"> груз, масса которого с учетом массы транспортного средства превышает допустимые массы транспортных средств</w:t>
      </w:r>
      <w:r w:rsidR="004C5921">
        <w:t>,</w:t>
      </w:r>
      <w:r w:rsidR="001F24FC">
        <w:t xml:space="preserve"> согласно приложению N 1</w:t>
      </w:r>
      <w:r w:rsidR="004C5921">
        <w:t>,</w:t>
      </w:r>
      <w:r w:rsidR="001F24FC">
        <w:t xml:space="preserve"> или допустимые осевые нагрузки транспортных средств</w:t>
      </w:r>
      <w:r w:rsidR="004C5921">
        <w:t>,</w:t>
      </w:r>
      <w:r w:rsidR="001F24FC">
        <w:t xml:space="preserve"> согласно приложению N 2; </w:t>
      </w:r>
    </w:p>
    <w:p w:rsidR="001F24FC" w:rsidRDefault="006624A9" w:rsidP="006624A9">
      <w:pPr>
        <w:spacing w:before="100" w:beforeAutospacing="1" w:after="100" w:afterAutospacing="1"/>
        <w:jc w:val="both"/>
      </w:pPr>
      <w:r>
        <w:t>«</w:t>
      </w:r>
      <w:r w:rsidR="001F24FC">
        <w:t>крупногабаритный груз</w:t>
      </w:r>
      <w:r>
        <w:t>»</w:t>
      </w:r>
      <w:r w:rsidR="001F24FC">
        <w:t xml:space="preserve"> </w:t>
      </w:r>
      <w:r w:rsidR="004C5921">
        <w:t>—</w:t>
      </w:r>
      <w:r w:rsidR="001F24FC">
        <w:t xml:space="preserve"> груз, который с учетом габаритов транспортного средства превышает предельно допустимые габариты транспортных средств</w:t>
      </w:r>
      <w:r w:rsidR="004C5921">
        <w:t>,</w:t>
      </w:r>
      <w:r w:rsidR="001F24FC">
        <w:t xml:space="preserve"> согласно приложению N 3; </w:t>
      </w:r>
    </w:p>
    <w:p w:rsidR="001F24FC" w:rsidRDefault="006624A9" w:rsidP="006624A9">
      <w:pPr>
        <w:spacing w:before="100" w:beforeAutospacing="1" w:after="240"/>
        <w:jc w:val="both"/>
      </w:pPr>
      <w:r>
        <w:t>«</w:t>
      </w:r>
      <w:r w:rsidR="001F24FC">
        <w:t>делимый груз</w:t>
      </w:r>
      <w:r>
        <w:t>»</w:t>
      </w:r>
      <w:r w:rsidR="001F24FC">
        <w:t xml:space="preserve"> </w:t>
      </w:r>
      <w:r w:rsidR="004C5921">
        <w:t>—</w:t>
      </w:r>
      <w:r w:rsidR="001F24FC">
        <w:t xml:space="preserve"> груз, который без потери потребительских свойств или риска его порчи может быть размещен на 2 или более грузовых местах. </w:t>
      </w:r>
    </w:p>
    <w:p w:rsidR="00DB6ECC" w:rsidRDefault="00DB6ECC">
      <w:pPr>
        <w:spacing w:after="200" w:line="276" w:lineRule="auto"/>
      </w:pPr>
      <w:r>
        <w:br w:type="page"/>
      </w:r>
    </w:p>
    <w:p w:rsidR="001F24FC" w:rsidRDefault="001F24FC" w:rsidP="001F24FC">
      <w:pPr>
        <w:jc w:val="right"/>
      </w:pPr>
      <w:r>
        <w:lastRenderedPageBreak/>
        <w:t xml:space="preserve">Приложение N 1 </w:t>
      </w:r>
      <w:r>
        <w:br/>
        <w:t xml:space="preserve">к Правилам перевозок грузов </w:t>
      </w:r>
      <w:r>
        <w:br/>
        <w:t xml:space="preserve">автомобильным транспортом </w:t>
      </w:r>
    </w:p>
    <w:p w:rsidR="001F24FC" w:rsidRDefault="001F24FC" w:rsidP="006624A9">
      <w:pPr>
        <w:jc w:val="center"/>
      </w:pPr>
      <w:r>
        <w:t>ДОПУСТИМЫЕ МАССЫ ТРАНСПОРТНЫХ СРЕДСТВ</w:t>
      </w:r>
    </w:p>
    <w:p w:rsidR="006624A9" w:rsidRDefault="006624A9" w:rsidP="001F24FC"/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1"/>
        <w:gridCol w:w="3174"/>
      </w:tblGrid>
      <w:tr w:rsidR="001F24FC" w:rsidRPr="006624A9" w:rsidTr="006624A9">
        <w:trPr>
          <w:tblCellSpacing w:w="0" w:type="dxa"/>
        </w:trPr>
        <w:tc>
          <w:tcPr>
            <w:tcW w:w="0" w:type="auto"/>
            <w:vAlign w:val="center"/>
            <w:hideMark/>
          </w:tcPr>
          <w:p w:rsidR="001F24FC" w:rsidRPr="006624A9" w:rsidRDefault="001F24FC">
            <w:pPr>
              <w:jc w:val="center"/>
              <w:rPr>
                <w:bCs/>
                <w:sz w:val="24"/>
                <w:szCs w:val="24"/>
              </w:rPr>
            </w:pPr>
            <w:r w:rsidRPr="006624A9">
              <w:rPr>
                <w:bCs/>
              </w:rPr>
              <w:t>Тип транспортного средства или комбинации транспортных средств, количество и расположение осей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>
            <w:pPr>
              <w:jc w:val="center"/>
              <w:rPr>
                <w:bCs/>
                <w:sz w:val="24"/>
                <w:szCs w:val="24"/>
              </w:rPr>
            </w:pPr>
            <w:r w:rsidRPr="006624A9">
              <w:rPr>
                <w:bCs/>
              </w:rPr>
              <w:t>Допустимая масса транспортного средства, тонн</w:t>
            </w:r>
          </w:p>
        </w:tc>
      </w:tr>
      <w:tr w:rsidR="001F24FC" w:rsidRPr="006624A9" w:rsidTr="006624A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sz w:val="24"/>
                <w:szCs w:val="24"/>
              </w:rPr>
            </w:pPr>
            <w:r w:rsidRPr="006624A9">
              <w:t>Одиночные автомобили</w:t>
            </w:r>
          </w:p>
        </w:tc>
      </w:tr>
      <w:tr w:rsidR="001F24FC" w:rsidRPr="006624A9" w:rsidTr="006624A9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1F24FC" w:rsidRPr="006624A9" w:rsidRDefault="001F24FC" w:rsidP="006624A9">
            <w:pPr>
              <w:jc w:val="both"/>
              <w:rPr>
                <w:sz w:val="24"/>
                <w:szCs w:val="24"/>
              </w:rPr>
            </w:pPr>
            <w:r w:rsidRPr="006624A9">
              <w:t>двухосные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sz w:val="24"/>
                <w:szCs w:val="24"/>
              </w:rPr>
            </w:pPr>
            <w:r w:rsidRPr="006624A9">
              <w:t>18</w:t>
            </w:r>
          </w:p>
        </w:tc>
      </w:tr>
      <w:tr w:rsidR="001F24FC" w:rsidRPr="006624A9" w:rsidTr="006624A9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1F24FC" w:rsidRPr="006624A9" w:rsidRDefault="001F24FC" w:rsidP="006624A9">
            <w:pPr>
              <w:jc w:val="both"/>
              <w:rPr>
                <w:sz w:val="24"/>
                <w:szCs w:val="24"/>
              </w:rPr>
            </w:pPr>
            <w:r w:rsidRPr="006624A9">
              <w:t>трехосные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sz w:val="24"/>
                <w:szCs w:val="24"/>
              </w:rPr>
            </w:pPr>
            <w:r w:rsidRPr="006624A9">
              <w:t>25</w:t>
            </w:r>
          </w:p>
        </w:tc>
      </w:tr>
      <w:tr w:rsidR="001F24FC" w:rsidRPr="006624A9" w:rsidTr="006624A9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1F24FC" w:rsidRPr="006624A9" w:rsidRDefault="001F24FC" w:rsidP="006624A9">
            <w:pPr>
              <w:jc w:val="both"/>
              <w:rPr>
                <w:sz w:val="24"/>
                <w:szCs w:val="24"/>
              </w:rPr>
            </w:pPr>
            <w:r w:rsidRPr="006624A9">
              <w:t>четырехосные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sz w:val="24"/>
                <w:szCs w:val="24"/>
              </w:rPr>
            </w:pPr>
            <w:r w:rsidRPr="006624A9">
              <w:t>32</w:t>
            </w:r>
          </w:p>
        </w:tc>
      </w:tr>
      <w:tr w:rsidR="001F24FC" w:rsidRPr="006624A9" w:rsidTr="006624A9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1F24FC" w:rsidRPr="006624A9" w:rsidRDefault="001F24FC" w:rsidP="006624A9">
            <w:pPr>
              <w:jc w:val="both"/>
              <w:rPr>
                <w:sz w:val="24"/>
                <w:szCs w:val="24"/>
              </w:rPr>
            </w:pPr>
            <w:proofErr w:type="spellStart"/>
            <w:r w:rsidRPr="006624A9">
              <w:t>пятиосные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sz w:val="24"/>
                <w:szCs w:val="24"/>
              </w:rPr>
            </w:pPr>
            <w:r w:rsidRPr="006624A9">
              <w:t>35</w:t>
            </w:r>
          </w:p>
        </w:tc>
      </w:tr>
      <w:tr w:rsidR="001F24FC" w:rsidRPr="006624A9" w:rsidTr="006624A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sz w:val="24"/>
                <w:szCs w:val="24"/>
              </w:rPr>
            </w:pPr>
            <w:r w:rsidRPr="006624A9">
              <w:t>Автопоезда седельные и прицепные</w:t>
            </w:r>
          </w:p>
        </w:tc>
      </w:tr>
      <w:tr w:rsidR="001F24FC" w:rsidRPr="006624A9" w:rsidTr="006624A9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1F24FC" w:rsidRPr="006624A9" w:rsidRDefault="001F24FC" w:rsidP="006624A9">
            <w:pPr>
              <w:jc w:val="both"/>
              <w:rPr>
                <w:sz w:val="24"/>
                <w:szCs w:val="24"/>
              </w:rPr>
            </w:pPr>
            <w:r w:rsidRPr="006624A9">
              <w:t>трехосные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sz w:val="24"/>
                <w:szCs w:val="24"/>
              </w:rPr>
            </w:pPr>
            <w:r w:rsidRPr="006624A9">
              <w:t>28</w:t>
            </w:r>
          </w:p>
        </w:tc>
      </w:tr>
      <w:tr w:rsidR="001F24FC" w:rsidRPr="006624A9" w:rsidTr="006624A9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1F24FC" w:rsidRPr="006624A9" w:rsidRDefault="001F24FC" w:rsidP="006624A9">
            <w:pPr>
              <w:jc w:val="both"/>
              <w:rPr>
                <w:sz w:val="24"/>
                <w:szCs w:val="24"/>
              </w:rPr>
            </w:pPr>
            <w:r w:rsidRPr="006624A9">
              <w:t>четырехосные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sz w:val="24"/>
                <w:szCs w:val="24"/>
              </w:rPr>
            </w:pPr>
            <w:r w:rsidRPr="006624A9">
              <w:t>36</w:t>
            </w:r>
          </w:p>
        </w:tc>
      </w:tr>
      <w:tr w:rsidR="001F24FC" w:rsidRPr="006624A9" w:rsidTr="006624A9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1F24FC" w:rsidRPr="006624A9" w:rsidRDefault="001F24FC" w:rsidP="006624A9">
            <w:pPr>
              <w:jc w:val="both"/>
              <w:rPr>
                <w:sz w:val="24"/>
                <w:szCs w:val="24"/>
              </w:rPr>
            </w:pPr>
            <w:proofErr w:type="spellStart"/>
            <w:r w:rsidRPr="006624A9">
              <w:t>пятиосные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sz w:val="24"/>
                <w:szCs w:val="24"/>
              </w:rPr>
            </w:pPr>
            <w:r w:rsidRPr="006624A9">
              <w:t>40</w:t>
            </w:r>
          </w:p>
        </w:tc>
      </w:tr>
      <w:tr w:rsidR="001F24FC" w:rsidRPr="006624A9" w:rsidTr="006624A9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1F24FC" w:rsidRPr="006624A9" w:rsidRDefault="001F24FC" w:rsidP="006624A9">
            <w:pPr>
              <w:jc w:val="both"/>
              <w:rPr>
                <w:sz w:val="24"/>
                <w:szCs w:val="24"/>
              </w:rPr>
            </w:pPr>
            <w:proofErr w:type="spellStart"/>
            <w:r w:rsidRPr="006624A9">
              <w:t>шестиосные</w:t>
            </w:r>
            <w:proofErr w:type="spellEnd"/>
            <w:r w:rsidRPr="006624A9">
              <w:t xml:space="preserve"> и более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sz w:val="24"/>
                <w:szCs w:val="24"/>
              </w:rPr>
            </w:pPr>
            <w:r w:rsidRPr="006624A9">
              <w:t>44</w:t>
            </w:r>
          </w:p>
        </w:tc>
      </w:tr>
    </w:tbl>
    <w:p w:rsidR="001F24FC" w:rsidRDefault="001F24FC" w:rsidP="001F24FC">
      <w:pPr>
        <w:spacing w:after="240"/>
      </w:pPr>
    </w:p>
    <w:p w:rsidR="001F24FC" w:rsidRDefault="001F24FC" w:rsidP="001F24FC">
      <w:pPr>
        <w:jc w:val="right"/>
      </w:pPr>
      <w:r>
        <w:t xml:space="preserve">Приложение N 2 </w:t>
      </w:r>
      <w:r>
        <w:br/>
        <w:t xml:space="preserve">к Правилам перевозок грузов </w:t>
      </w:r>
      <w:r>
        <w:br/>
        <w:t xml:space="preserve">автомобильным транспортом </w:t>
      </w:r>
    </w:p>
    <w:p w:rsidR="006624A9" w:rsidRDefault="006624A9" w:rsidP="006624A9">
      <w:pPr>
        <w:jc w:val="center"/>
      </w:pPr>
    </w:p>
    <w:p w:rsidR="001F24FC" w:rsidRDefault="001F24FC" w:rsidP="006624A9">
      <w:pPr>
        <w:jc w:val="center"/>
      </w:pPr>
      <w:r>
        <w:t>ДОПУСТИМЫЕ ОСЕВЫЕ НАГРУЗКИ ТРАНСПОРТНЫХ СРЕДСТВ</w:t>
      </w:r>
    </w:p>
    <w:p w:rsidR="006624A9" w:rsidRDefault="006624A9" w:rsidP="001F24FC"/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5"/>
        <w:gridCol w:w="1663"/>
        <w:gridCol w:w="1807"/>
        <w:gridCol w:w="1791"/>
        <w:gridCol w:w="1799"/>
      </w:tblGrid>
      <w:tr w:rsidR="001F24FC" w:rsidRPr="006624A9" w:rsidTr="006624A9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1F24FC" w:rsidRPr="006624A9" w:rsidRDefault="001F24F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6624A9">
              <w:rPr>
                <w:rFonts w:asciiTheme="minorHAnsi" w:hAnsiTheme="minorHAnsi" w:cstheme="minorHAnsi"/>
                <w:bCs/>
              </w:rPr>
              <w:t>Расположение осей транспортного средства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F24FC" w:rsidRPr="006624A9" w:rsidRDefault="001F24F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6624A9">
              <w:rPr>
                <w:rFonts w:asciiTheme="minorHAnsi" w:hAnsiTheme="minorHAnsi" w:cstheme="minorHAnsi"/>
                <w:bCs/>
              </w:rPr>
              <w:t>Расстояние между сближенными осями (метров)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F24FC" w:rsidRPr="006624A9" w:rsidRDefault="001F24F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6624A9">
              <w:rPr>
                <w:rFonts w:asciiTheme="minorHAnsi" w:hAnsiTheme="minorHAnsi" w:cstheme="minorHAnsi"/>
                <w:bCs/>
              </w:rPr>
              <w:t>Допустимые осевые нагрузки колесных транспортных сре</w:t>
            </w:r>
            <w:proofErr w:type="gramStart"/>
            <w:r w:rsidRPr="006624A9">
              <w:rPr>
                <w:rFonts w:asciiTheme="minorHAnsi" w:hAnsiTheme="minorHAnsi" w:cstheme="minorHAnsi"/>
                <w:bCs/>
              </w:rPr>
              <w:t>дств в з</w:t>
            </w:r>
            <w:proofErr w:type="gramEnd"/>
            <w:r w:rsidRPr="006624A9">
              <w:rPr>
                <w:rFonts w:asciiTheme="minorHAnsi" w:hAnsiTheme="minorHAnsi" w:cstheme="minorHAnsi"/>
                <w:bCs/>
              </w:rPr>
              <w:t>ависимости от нормативной (расчетной) осевой нагрузки (тонн) и числа колес на оси</w:t>
            </w:r>
          </w:p>
        </w:tc>
      </w:tr>
      <w:tr w:rsidR="001F24FC" w:rsidRPr="006624A9" w:rsidTr="006624A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F24FC" w:rsidRPr="006624A9" w:rsidRDefault="001F24FC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24FC" w:rsidRPr="006624A9" w:rsidRDefault="001F24FC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1F24FC" w:rsidRPr="006624A9" w:rsidRDefault="001F24F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6624A9">
              <w:rPr>
                <w:rFonts w:asciiTheme="minorHAnsi" w:hAnsiTheme="minorHAnsi" w:cstheme="minorHAnsi"/>
                <w:bCs/>
              </w:rPr>
              <w:t>для автомобильных дорог, р</w:t>
            </w:r>
            <w:r w:rsidR="004C5921">
              <w:rPr>
                <w:rFonts w:asciiTheme="minorHAnsi" w:hAnsiTheme="minorHAnsi" w:cstheme="minorHAnsi"/>
                <w:bCs/>
              </w:rPr>
              <w:t xml:space="preserve">ассчитанных на осевую нагрузку </w:t>
            </w:r>
            <w:r w:rsidRPr="006624A9">
              <w:rPr>
                <w:rFonts w:asciiTheme="minorHAnsi" w:hAnsiTheme="minorHAnsi" w:cstheme="minorHAnsi"/>
                <w:bCs/>
              </w:rPr>
              <w:t xml:space="preserve"> </w:t>
            </w:r>
            <w:r w:rsidR="004C5921">
              <w:rPr>
                <w:rFonts w:asciiTheme="minorHAnsi" w:hAnsiTheme="minorHAnsi" w:cstheme="minorHAnsi"/>
                <w:bCs/>
              </w:rPr>
              <w:t>6 </w:t>
            </w:r>
            <w:r w:rsidRPr="006624A9">
              <w:rPr>
                <w:rFonts w:asciiTheme="minorHAnsi" w:hAnsiTheme="minorHAnsi" w:cstheme="minorHAnsi"/>
                <w:bCs/>
              </w:rPr>
              <w:t>тонн/ось &lt;*&gt;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6624A9">
              <w:rPr>
                <w:rFonts w:asciiTheme="minorHAnsi" w:hAnsiTheme="minorHAnsi" w:cstheme="minorHAnsi"/>
                <w:bCs/>
              </w:rPr>
              <w:t>для автомобильных дорог, рассчитанных на осевую нагрузку 10 тонн/ось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6624A9">
              <w:rPr>
                <w:rFonts w:asciiTheme="minorHAnsi" w:hAnsiTheme="minorHAnsi" w:cstheme="minorHAnsi"/>
                <w:bCs/>
              </w:rPr>
              <w:t>для автомобильных дорог, рассчитанных на осевую нагрузку 11,5 тонн/ось</w:t>
            </w:r>
          </w:p>
        </w:tc>
      </w:tr>
      <w:tr w:rsidR="001F24FC" w:rsidRPr="006624A9" w:rsidTr="006624A9">
        <w:trPr>
          <w:tblCellSpacing w:w="0" w:type="dxa"/>
        </w:trPr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both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Одиночные оси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4C5921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5,5 (6)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9 (10)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10,5 (11,5)</w:t>
            </w:r>
          </w:p>
        </w:tc>
      </w:tr>
      <w:tr w:rsidR="001F24FC" w:rsidRPr="006624A9" w:rsidTr="006624A9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1F24FC" w:rsidRPr="006624A9" w:rsidRDefault="001F24FC" w:rsidP="006624A9">
            <w:pPr>
              <w:jc w:val="both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Сдвоенные оси прицепов, полуприцепов, гру</w:t>
            </w:r>
            <w:r w:rsidR="004C5921">
              <w:rPr>
                <w:rFonts w:asciiTheme="minorHAnsi" w:hAnsiTheme="minorHAnsi" w:cstheme="minorHAnsi"/>
              </w:rPr>
              <w:t>зовых автомобилей, автомобилей-</w:t>
            </w:r>
            <w:r w:rsidRPr="006624A9">
              <w:rPr>
                <w:rFonts w:asciiTheme="minorHAnsi" w:hAnsiTheme="minorHAnsi" w:cstheme="minorHAnsi"/>
              </w:rPr>
              <w:t>тягачей, седельных тягачей при расстоянии между осями (нагрузка на тележку, сумма осевых масс)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до 1 (включительно)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8 (9)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10 (11)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11,5 (12,5)</w:t>
            </w:r>
          </w:p>
        </w:tc>
      </w:tr>
      <w:tr w:rsidR="001F24FC" w:rsidRPr="006624A9" w:rsidTr="006624A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F24FC" w:rsidRPr="006624A9" w:rsidRDefault="001F24FC" w:rsidP="006624A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от 1 до 1,3 (включительно)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9 (10)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13 (14)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14 (16)</w:t>
            </w:r>
          </w:p>
        </w:tc>
      </w:tr>
      <w:tr w:rsidR="001F24FC" w:rsidRPr="006624A9" w:rsidTr="006624A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F24FC" w:rsidRPr="006624A9" w:rsidRDefault="001F24FC" w:rsidP="006624A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от 1,3 до 1,8 (включительно)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10 (11)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15 (16)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17 (18)</w:t>
            </w:r>
          </w:p>
        </w:tc>
      </w:tr>
      <w:tr w:rsidR="001F24FC" w:rsidRPr="006624A9" w:rsidTr="006624A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F24FC" w:rsidRPr="006624A9" w:rsidRDefault="001F24FC" w:rsidP="006624A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от 1,8 до 2.5 (включительно)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11 (12)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17 (18)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18 (20)</w:t>
            </w:r>
          </w:p>
        </w:tc>
      </w:tr>
      <w:tr w:rsidR="001F24FC" w:rsidRPr="006624A9" w:rsidTr="006624A9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1F24FC" w:rsidRPr="006624A9" w:rsidRDefault="001F24FC" w:rsidP="006624A9">
            <w:pPr>
              <w:jc w:val="both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 xml:space="preserve">Строенные оси прицепов, полуприцепов, грузовых автомобилей, автомобилей-тягачей, седельных тягачей при расстоянии между осями (нагрузка на </w:t>
            </w:r>
            <w:r w:rsidRPr="006624A9">
              <w:rPr>
                <w:rFonts w:asciiTheme="minorHAnsi" w:hAnsiTheme="minorHAnsi" w:cstheme="minorHAnsi"/>
              </w:rPr>
              <w:lastRenderedPageBreak/>
              <w:t>тележку, сумма осевых масс)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lastRenderedPageBreak/>
              <w:t>до 1 (включительно)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11 (12)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15 (16,5)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17 (18)</w:t>
            </w:r>
          </w:p>
        </w:tc>
      </w:tr>
      <w:tr w:rsidR="001F24FC" w:rsidRPr="006624A9" w:rsidTr="006624A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F24FC" w:rsidRPr="006624A9" w:rsidRDefault="001F24FC" w:rsidP="006624A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до 1,3 (включительно)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12 (13,5)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18 (19,5)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20 (21)</w:t>
            </w:r>
          </w:p>
        </w:tc>
      </w:tr>
      <w:tr w:rsidR="001F24FC" w:rsidRPr="006624A9" w:rsidTr="006624A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F24FC" w:rsidRPr="006624A9" w:rsidRDefault="001F24FC" w:rsidP="006624A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от 1,3 до 1,8 (включительно)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13,5 (15)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 xml:space="preserve">21 (22,5 </w:t>
            </w:r>
            <w:r w:rsidRPr="006624A9">
              <w:rPr>
                <w:rFonts w:asciiTheme="minorHAnsi" w:hAnsiTheme="minorHAnsi" w:cstheme="minorHAnsi"/>
                <w:vertAlign w:val="superscript"/>
              </w:rPr>
              <w:t>&lt;**&gt;</w:t>
            </w:r>
            <w:r w:rsidRPr="006624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23,5 (24)</w:t>
            </w:r>
          </w:p>
        </w:tc>
      </w:tr>
      <w:tr w:rsidR="001F24FC" w:rsidRPr="006624A9" w:rsidTr="006624A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F24FC" w:rsidRPr="006624A9" w:rsidRDefault="001F24FC" w:rsidP="006624A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 xml:space="preserve">от 1,8 до 2.5 </w:t>
            </w:r>
            <w:r w:rsidRPr="006624A9">
              <w:rPr>
                <w:rFonts w:asciiTheme="minorHAnsi" w:hAnsiTheme="minorHAnsi" w:cstheme="minorHAnsi"/>
              </w:rPr>
              <w:lastRenderedPageBreak/>
              <w:t>(включительно)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lastRenderedPageBreak/>
              <w:t>15 (16)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22 (23)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25 (26)</w:t>
            </w:r>
          </w:p>
        </w:tc>
      </w:tr>
      <w:tr w:rsidR="001F24FC" w:rsidRPr="006624A9" w:rsidTr="006624A9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1F24FC" w:rsidRPr="006624A9" w:rsidRDefault="001F24FC" w:rsidP="006624A9">
            <w:pPr>
              <w:jc w:val="both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lastRenderedPageBreak/>
              <w:t>Сближенные оси грузовых автомобилей, автомобилей-тягачей, седельных тягачей, прицепов и полуприцепов с количеством осей более трех при расстоянии между осями (нагрузка на одну ось)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до 1 (включительно)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3,5 (4)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5 (5,5)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5,5 (6)</w:t>
            </w:r>
          </w:p>
        </w:tc>
      </w:tr>
      <w:tr w:rsidR="001F24FC" w:rsidRPr="006624A9" w:rsidTr="006624A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F24FC" w:rsidRPr="006624A9" w:rsidRDefault="001F24FC" w:rsidP="006624A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от 1 до 1,3 (включительно)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4 (4,5)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6 (6,5)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6,5 (7)</w:t>
            </w:r>
          </w:p>
        </w:tc>
      </w:tr>
      <w:tr w:rsidR="001F24FC" w:rsidRPr="006624A9" w:rsidTr="006624A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F24FC" w:rsidRPr="006624A9" w:rsidRDefault="001F24FC" w:rsidP="006624A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от 1,3 до 1,8 (включительно)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4,5 (5)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6,5 (7)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7,5 (8)</w:t>
            </w:r>
          </w:p>
        </w:tc>
      </w:tr>
      <w:tr w:rsidR="001F24FC" w:rsidRPr="006624A9" w:rsidTr="006624A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F24FC" w:rsidRPr="006624A9" w:rsidRDefault="001F24FC" w:rsidP="006624A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от 1,8 до 2.5 (включительно)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5 (5,5)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7 (7,5)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8,5 (9)</w:t>
            </w:r>
          </w:p>
        </w:tc>
      </w:tr>
      <w:tr w:rsidR="001F24FC" w:rsidRPr="006624A9" w:rsidTr="006624A9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1F24FC" w:rsidRPr="006624A9" w:rsidRDefault="001F24FC" w:rsidP="006624A9">
            <w:pPr>
              <w:jc w:val="both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Сближенные оси транспортных средств, имеющих на каждой оси по восемь и более колес (нагрузка на одну ось)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до 1 (включительно)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9,5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11</w:t>
            </w:r>
          </w:p>
        </w:tc>
      </w:tr>
      <w:tr w:rsidR="001F24FC" w:rsidRPr="006624A9" w:rsidTr="006624A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F24FC" w:rsidRPr="006624A9" w:rsidRDefault="001F24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от 1 до 1,3 (включительно)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6,5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10,5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12</w:t>
            </w:r>
          </w:p>
        </w:tc>
      </w:tr>
      <w:tr w:rsidR="001F24FC" w:rsidRPr="006624A9" w:rsidTr="006624A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F24FC" w:rsidRPr="006624A9" w:rsidRDefault="001F24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от 1,3 до 1,8 (включительно)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14</w:t>
            </w:r>
          </w:p>
        </w:tc>
      </w:tr>
      <w:tr w:rsidR="001F24FC" w:rsidRPr="006624A9" w:rsidTr="006624A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F24FC" w:rsidRPr="006624A9" w:rsidRDefault="001F24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от 1,8 до 2.5 (включительно)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8,5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13,5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 w:rsidP="006624A9">
            <w:pPr>
              <w:jc w:val="center"/>
              <w:rPr>
                <w:rFonts w:asciiTheme="minorHAnsi" w:hAnsiTheme="minorHAnsi" w:cstheme="minorHAnsi"/>
              </w:rPr>
            </w:pPr>
            <w:r w:rsidRPr="006624A9">
              <w:rPr>
                <w:rFonts w:asciiTheme="minorHAnsi" w:hAnsiTheme="minorHAnsi" w:cstheme="minorHAnsi"/>
              </w:rPr>
              <w:t>16</w:t>
            </w:r>
          </w:p>
        </w:tc>
      </w:tr>
    </w:tbl>
    <w:p w:rsidR="001F24FC" w:rsidRDefault="001F24FC" w:rsidP="006624A9">
      <w:pPr>
        <w:spacing w:before="100" w:beforeAutospacing="1" w:after="100" w:afterAutospacing="1"/>
        <w:jc w:val="both"/>
      </w:pPr>
      <w:r>
        <w:t xml:space="preserve">&lt;*&gt; В случае установления владельцем автомобильной дороги соответствующих дорожных знаков и размещения на его официальном сайте информации о допустимой для автомобильной дороги осевой нагрузке транспортного средства. </w:t>
      </w:r>
    </w:p>
    <w:p w:rsidR="001F24FC" w:rsidRDefault="001F24FC" w:rsidP="006624A9">
      <w:pPr>
        <w:spacing w:before="100" w:beforeAutospacing="1" w:after="100" w:afterAutospacing="1"/>
        <w:jc w:val="both"/>
      </w:pPr>
      <w:r>
        <w:t xml:space="preserve">&lt;**&gt; Для транспортных средств с односкатными колесами, оборудованными пневматической или эквивалентной ей подвеской. </w:t>
      </w:r>
    </w:p>
    <w:p w:rsidR="004C5921" w:rsidRDefault="004C5921" w:rsidP="006624A9">
      <w:pPr>
        <w:spacing w:before="100" w:beforeAutospacing="1" w:after="100" w:afterAutospacing="1"/>
        <w:jc w:val="both"/>
        <w:rPr>
          <w:b/>
          <w:bCs/>
        </w:rPr>
      </w:pPr>
      <w:r>
        <w:rPr>
          <w:b/>
          <w:bCs/>
        </w:rPr>
        <w:t>Примечания</w:t>
      </w:r>
    </w:p>
    <w:p w:rsidR="001F24FC" w:rsidRDefault="001F24FC" w:rsidP="006624A9">
      <w:pPr>
        <w:spacing w:before="100" w:beforeAutospacing="1" w:after="100" w:afterAutospacing="1"/>
        <w:jc w:val="both"/>
      </w:pPr>
      <w:r>
        <w:t xml:space="preserve">1. </w:t>
      </w:r>
      <w:proofErr w:type="gramStart"/>
      <w:r>
        <w:t xml:space="preserve">В скобках приведены значения для двухскатных колес, без скобок </w:t>
      </w:r>
      <w:r w:rsidR="004C5921">
        <w:t>—</w:t>
      </w:r>
      <w:r>
        <w:t xml:space="preserve"> для односкатных. </w:t>
      </w:r>
      <w:proofErr w:type="gramEnd"/>
    </w:p>
    <w:p w:rsidR="001F24FC" w:rsidRDefault="001F24FC" w:rsidP="006624A9">
      <w:pPr>
        <w:spacing w:before="100" w:beforeAutospacing="1" w:after="100" w:afterAutospacing="1"/>
        <w:jc w:val="both"/>
      </w:pPr>
      <w:r>
        <w:t xml:space="preserve">2. Оси с односкатными и двухскатными колесами, объединенные в группу сближенных осей, следует рассматривать как сближенные оси с односкатными колесами. </w:t>
      </w:r>
    </w:p>
    <w:p w:rsidR="001F24FC" w:rsidRDefault="001F24FC" w:rsidP="006624A9">
      <w:pPr>
        <w:spacing w:before="100" w:beforeAutospacing="1" w:after="100" w:afterAutospacing="1"/>
        <w:jc w:val="both"/>
      </w:pPr>
      <w:r>
        <w:t xml:space="preserve">3. Для сдвоенных и строенных осей, конструктивно объединенных в общую тележку, допустимая осевая нагрузка определяется путем деления общей допустимой нагрузки на тележку на соответствующее количество осей. </w:t>
      </w:r>
    </w:p>
    <w:p w:rsidR="001F24FC" w:rsidRDefault="001F24FC" w:rsidP="006624A9">
      <w:pPr>
        <w:spacing w:before="100" w:beforeAutospacing="1" w:after="240"/>
        <w:jc w:val="both"/>
      </w:pPr>
      <w:r>
        <w:t xml:space="preserve">4. Допускается неравномерное распределение нагрузки по осям для двухосных и трехосных тележек, если суммарная нагрузка на тележку не превышает допустимую, и нагрузка на наиболее нагруженную ось не превышает допустимую осевую нагрузку соответствующей (односкатной или двускатной) одиночной оси. </w:t>
      </w:r>
    </w:p>
    <w:p w:rsidR="00DB6ECC" w:rsidRDefault="00DB6ECC">
      <w:pPr>
        <w:spacing w:after="200" w:line="276" w:lineRule="auto"/>
      </w:pPr>
      <w:r>
        <w:br w:type="page"/>
      </w:r>
    </w:p>
    <w:p w:rsidR="001F24FC" w:rsidRDefault="001F24FC" w:rsidP="001F24FC">
      <w:pPr>
        <w:jc w:val="right"/>
      </w:pPr>
      <w:r>
        <w:lastRenderedPageBreak/>
        <w:t xml:space="preserve">Приложение N 3 </w:t>
      </w:r>
      <w:r>
        <w:br/>
        <w:t xml:space="preserve">к Правилам перевозок грузов </w:t>
      </w:r>
      <w:r>
        <w:br/>
        <w:t xml:space="preserve">автомобильным транспортом </w:t>
      </w:r>
    </w:p>
    <w:p w:rsidR="001F24FC" w:rsidRDefault="001F24FC" w:rsidP="006624A9">
      <w:pPr>
        <w:jc w:val="center"/>
      </w:pPr>
      <w:r>
        <w:t>ПРЕДЕЛЬНО ДОПУСТИМЫЕ ГАБАРИТЫ ТРАНСПОРТНЫХ СРЕДСТВ</w:t>
      </w:r>
    </w:p>
    <w:p w:rsidR="006624A9" w:rsidRDefault="006624A9" w:rsidP="001F24FC"/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1"/>
        <w:gridCol w:w="1774"/>
      </w:tblGrid>
      <w:tr w:rsidR="001F24FC" w:rsidRPr="006624A9" w:rsidTr="006624A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F24FC" w:rsidRPr="006624A9" w:rsidRDefault="001F24FC">
            <w:pPr>
              <w:jc w:val="center"/>
              <w:rPr>
                <w:bCs/>
                <w:sz w:val="24"/>
                <w:szCs w:val="24"/>
              </w:rPr>
            </w:pPr>
            <w:r w:rsidRPr="006624A9">
              <w:rPr>
                <w:bCs/>
              </w:rPr>
              <w:t>Длина</w:t>
            </w:r>
          </w:p>
        </w:tc>
      </w:tr>
      <w:tr w:rsidR="001F24FC" w:rsidRPr="006624A9" w:rsidTr="006624A9">
        <w:trPr>
          <w:tblCellSpacing w:w="0" w:type="dxa"/>
        </w:trPr>
        <w:tc>
          <w:tcPr>
            <w:tcW w:w="0" w:type="auto"/>
            <w:vAlign w:val="center"/>
            <w:hideMark/>
          </w:tcPr>
          <w:p w:rsidR="001F24FC" w:rsidRPr="006624A9" w:rsidRDefault="001F24FC">
            <w:pPr>
              <w:rPr>
                <w:sz w:val="24"/>
                <w:szCs w:val="24"/>
              </w:rPr>
            </w:pPr>
            <w:r w:rsidRPr="006624A9">
              <w:t>Одиночное транспортное средство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>
            <w:pPr>
              <w:rPr>
                <w:sz w:val="24"/>
                <w:szCs w:val="24"/>
              </w:rPr>
            </w:pPr>
            <w:r w:rsidRPr="006624A9">
              <w:t>12 метров</w:t>
            </w:r>
          </w:p>
        </w:tc>
      </w:tr>
      <w:tr w:rsidR="001F24FC" w:rsidRPr="006624A9" w:rsidTr="006624A9">
        <w:trPr>
          <w:tblCellSpacing w:w="0" w:type="dxa"/>
        </w:trPr>
        <w:tc>
          <w:tcPr>
            <w:tcW w:w="0" w:type="auto"/>
            <w:vAlign w:val="center"/>
            <w:hideMark/>
          </w:tcPr>
          <w:p w:rsidR="001F24FC" w:rsidRPr="006624A9" w:rsidRDefault="001F24FC">
            <w:pPr>
              <w:rPr>
                <w:sz w:val="24"/>
                <w:szCs w:val="24"/>
              </w:rPr>
            </w:pPr>
            <w:r w:rsidRPr="006624A9">
              <w:t>Прицеп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>
            <w:pPr>
              <w:rPr>
                <w:sz w:val="24"/>
                <w:szCs w:val="24"/>
              </w:rPr>
            </w:pPr>
            <w:r w:rsidRPr="006624A9">
              <w:t>12 метров</w:t>
            </w:r>
          </w:p>
        </w:tc>
      </w:tr>
      <w:tr w:rsidR="001F24FC" w:rsidRPr="006624A9" w:rsidTr="006624A9">
        <w:trPr>
          <w:tblCellSpacing w:w="0" w:type="dxa"/>
        </w:trPr>
        <w:tc>
          <w:tcPr>
            <w:tcW w:w="0" w:type="auto"/>
            <w:vAlign w:val="center"/>
            <w:hideMark/>
          </w:tcPr>
          <w:p w:rsidR="001F24FC" w:rsidRPr="006624A9" w:rsidRDefault="001F24FC">
            <w:pPr>
              <w:rPr>
                <w:sz w:val="24"/>
                <w:szCs w:val="24"/>
              </w:rPr>
            </w:pPr>
            <w:r w:rsidRPr="006624A9">
              <w:t>Автопоезд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>
            <w:pPr>
              <w:rPr>
                <w:sz w:val="24"/>
                <w:szCs w:val="24"/>
              </w:rPr>
            </w:pPr>
            <w:r w:rsidRPr="006624A9">
              <w:t>20 метров</w:t>
            </w:r>
          </w:p>
        </w:tc>
      </w:tr>
      <w:tr w:rsidR="001F24FC" w:rsidRPr="006624A9" w:rsidTr="006624A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F24FC" w:rsidRPr="006624A9" w:rsidRDefault="001F24FC">
            <w:pPr>
              <w:jc w:val="center"/>
              <w:rPr>
                <w:bCs/>
                <w:sz w:val="24"/>
                <w:szCs w:val="24"/>
              </w:rPr>
            </w:pPr>
            <w:r w:rsidRPr="006624A9">
              <w:rPr>
                <w:bCs/>
              </w:rPr>
              <w:t>Ширина</w:t>
            </w:r>
          </w:p>
        </w:tc>
      </w:tr>
      <w:tr w:rsidR="001F24FC" w:rsidRPr="006624A9" w:rsidTr="006624A9">
        <w:trPr>
          <w:tblCellSpacing w:w="0" w:type="dxa"/>
        </w:trPr>
        <w:tc>
          <w:tcPr>
            <w:tcW w:w="0" w:type="auto"/>
            <w:vAlign w:val="center"/>
            <w:hideMark/>
          </w:tcPr>
          <w:p w:rsidR="001F24FC" w:rsidRPr="006624A9" w:rsidRDefault="001F24FC">
            <w:pPr>
              <w:rPr>
                <w:sz w:val="24"/>
                <w:szCs w:val="24"/>
              </w:rPr>
            </w:pPr>
            <w:r w:rsidRPr="006624A9">
              <w:t>Все транспортные средства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>
            <w:pPr>
              <w:rPr>
                <w:sz w:val="24"/>
                <w:szCs w:val="24"/>
              </w:rPr>
            </w:pPr>
            <w:r w:rsidRPr="006624A9">
              <w:t>2,55 метра</w:t>
            </w:r>
          </w:p>
        </w:tc>
      </w:tr>
      <w:tr w:rsidR="001F24FC" w:rsidRPr="006624A9" w:rsidTr="006624A9">
        <w:trPr>
          <w:tblCellSpacing w:w="0" w:type="dxa"/>
        </w:trPr>
        <w:tc>
          <w:tcPr>
            <w:tcW w:w="0" w:type="auto"/>
            <w:vAlign w:val="center"/>
            <w:hideMark/>
          </w:tcPr>
          <w:p w:rsidR="001F24FC" w:rsidRPr="006624A9" w:rsidRDefault="001F24FC">
            <w:pPr>
              <w:rPr>
                <w:sz w:val="24"/>
                <w:szCs w:val="24"/>
              </w:rPr>
            </w:pPr>
            <w:r w:rsidRPr="006624A9">
              <w:t>Изотермические кузова транспортных средств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>
            <w:pPr>
              <w:rPr>
                <w:sz w:val="24"/>
                <w:szCs w:val="24"/>
              </w:rPr>
            </w:pPr>
            <w:r w:rsidRPr="006624A9">
              <w:t>2,6 метра</w:t>
            </w:r>
          </w:p>
        </w:tc>
      </w:tr>
      <w:tr w:rsidR="001F24FC" w:rsidRPr="006624A9" w:rsidTr="006624A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F24FC" w:rsidRPr="006624A9" w:rsidRDefault="001F24FC">
            <w:pPr>
              <w:jc w:val="center"/>
              <w:rPr>
                <w:bCs/>
                <w:sz w:val="24"/>
                <w:szCs w:val="24"/>
              </w:rPr>
            </w:pPr>
            <w:r w:rsidRPr="006624A9">
              <w:rPr>
                <w:bCs/>
              </w:rPr>
              <w:t>Высота</w:t>
            </w:r>
          </w:p>
        </w:tc>
      </w:tr>
      <w:tr w:rsidR="001F24FC" w:rsidRPr="006624A9" w:rsidTr="006624A9">
        <w:trPr>
          <w:tblCellSpacing w:w="0" w:type="dxa"/>
        </w:trPr>
        <w:tc>
          <w:tcPr>
            <w:tcW w:w="0" w:type="auto"/>
            <w:vAlign w:val="center"/>
            <w:hideMark/>
          </w:tcPr>
          <w:p w:rsidR="001F24FC" w:rsidRPr="006624A9" w:rsidRDefault="001F24FC">
            <w:pPr>
              <w:rPr>
                <w:sz w:val="24"/>
                <w:szCs w:val="24"/>
              </w:rPr>
            </w:pPr>
            <w:r w:rsidRPr="006624A9">
              <w:t>Все транспортные средства</w:t>
            </w:r>
          </w:p>
        </w:tc>
        <w:tc>
          <w:tcPr>
            <w:tcW w:w="0" w:type="auto"/>
            <w:vAlign w:val="center"/>
            <w:hideMark/>
          </w:tcPr>
          <w:p w:rsidR="001F24FC" w:rsidRPr="006624A9" w:rsidRDefault="001F24FC">
            <w:pPr>
              <w:rPr>
                <w:sz w:val="24"/>
                <w:szCs w:val="24"/>
              </w:rPr>
            </w:pPr>
            <w:r w:rsidRPr="006624A9">
              <w:t>4 метра</w:t>
            </w:r>
          </w:p>
        </w:tc>
      </w:tr>
    </w:tbl>
    <w:p w:rsidR="001F24FC" w:rsidRDefault="001F24FC" w:rsidP="006624A9">
      <w:pPr>
        <w:spacing w:before="100" w:beforeAutospacing="1" w:after="100" w:afterAutospacing="1"/>
        <w:jc w:val="both"/>
      </w:pPr>
      <w:r>
        <w:rPr>
          <w:b/>
          <w:bCs/>
        </w:rPr>
        <w:t>Примечание.</w:t>
      </w:r>
      <w:r>
        <w:t xml:space="preserve"> Предельно допустимые габариты транспортных средств, указанные в настоящем приложении, включают в себя размеры съемных кузовов и тары для грузов, включая контейнеры. </w:t>
      </w:r>
    </w:p>
    <w:p w:rsidR="001F24FC" w:rsidRDefault="001F24FC" w:rsidP="00DB6ECC"/>
    <w:p w:rsidR="00610C19" w:rsidRDefault="003A7BA3" w:rsidP="006624A9"/>
    <w:sectPr w:rsidR="00610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35F"/>
    <w:multiLevelType w:val="multilevel"/>
    <w:tmpl w:val="CCA0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51EF5"/>
    <w:multiLevelType w:val="hybridMultilevel"/>
    <w:tmpl w:val="A7A85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B08CA"/>
    <w:multiLevelType w:val="hybridMultilevel"/>
    <w:tmpl w:val="68864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C5782"/>
    <w:multiLevelType w:val="multilevel"/>
    <w:tmpl w:val="E0E2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294335"/>
    <w:multiLevelType w:val="multilevel"/>
    <w:tmpl w:val="06D6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FC"/>
    <w:rsid w:val="001653AE"/>
    <w:rsid w:val="001F24FC"/>
    <w:rsid w:val="003A7BA3"/>
    <w:rsid w:val="004C5921"/>
    <w:rsid w:val="0063053E"/>
    <w:rsid w:val="006624A9"/>
    <w:rsid w:val="006E609B"/>
    <w:rsid w:val="00DB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4FC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4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24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4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24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4FC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4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24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4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2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1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Лавшук Ксения</dc:creator>
  <cp:lastModifiedBy>Мурыгина Анна</cp:lastModifiedBy>
  <cp:revision>2</cp:revision>
  <dcterms:created xsi:type="dcterms:W3CDTF">2016-12-07T07:38:00Z</dcterms:created>
  <dcterms:modified xsi:type="dcterms:W3CDTF">2016-12-07T07:38:00Z</dcterms:modified>
</cp:coreProperties>
</file>