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C" w:rsidRPr="00DB6ECC" w:rsidRDefault="006624A9" w:rsidP="006624A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ECC">
        <w:rPr>
          <w:b/>
          <w:sz w:val="24"/>
          <w:szCs w:val="24"/>
        </w:rPr>
        <w:t xml:space="preserve">ПРАВИЛА </w:t>
      </w:r>
      <w:r w:rsidR="001F24FC" w:rsidRPr="00DB6ECC">
        <w:rPr>
          <w:b/>
          <w:sz w:val="24"/>
          <w:szCs w:val="24"/>
        </w:rPr>
        <w:t>ПЕРЕВОЗОК ГРУЗОВ АВТОМОБИЛЬНЫМ ТРАНСПОРТОМ (в ред. Постановлений Правит</w:t>
      </w:r>
      <w:r w:rsidR="0063053E" w:rsidRPr="00DB6ECC">
        <w:rPr>
          <w:b/>
          <w:sz w:val="24"/>
          <w:szCs w:val="24"/>
        </w:rPr>
        <w:t>ельства РФ от 30.12.2011 N 1208</w:t>
      </w:r>
      <w:r w:rsidR="001F24FC" w:rsidRPr="00DB6ECC">
        <w:rPr>
          <w:b/>
          <w:sz w:val="24"/>
          <w:szCs w:val="24"/>
        </w:rPr>
        <w:t xml:space="preserve"> от 09.01.2014 N 12 (ред. 18.05.2015))</w:t>
      </w:r>
    </w:p>
    <w:p w:rsidR="006624A9" w:rsidRDefault="006624A9" w:rsidP="006624A9">
      <w:pPr>
        <w:jc w:val="both"/>
      </w:pPr>
    </w:p>
    <w:p w:rsidR="001F24FC" w:rsidRDefault="001F24FC" w:rsidP="006624A9">
      <w:pPr>
        <w:jc w:val="both"/>
      </w:pPr>
      <w:r>
        <w:t>I. Общие положения</w:t>
      </w:r>
    </w:p>
    <w:p w:rsidR="001F24FC" w:rsidRDefault="001F24FC" w:rsidP="006624A9">
      <w:pPr>
        <w:pStyle w:val="a6"/>
        <w:numPr>
          <w:ilvl w:val="0"/>
          <w:numId w:val="5"/>
        </w:numPr>
        <w:spacing w:before="100" w:beforeAutospacing="1" w:after="100" w:afterAutospacing="1"/>
        <w:jc w:val="both"/>
      </w:pPr>
      <w:r>
        <w:t>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 xml:space="preserve">я такой перевозки. </w:t>
      </w:r>
    </w:p>
    <w:p w:rsidR="001F24FC" w:rsidRDefault="001F24FC" w:rsidP="006624A9">
      <w:pPr>
        <w:pStyle w:val="a6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 </w:t>
      </w:r>
    </w:p>
    <w:p w:rsidR="001F24FC" w:rsidRDefault="001F24FC" w:rsidP="006624A9">
      <w:pPr>
        <w:pStyle w:val="a6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 </w:t>
      </w:r>
    </w:p>
    <w:p w:rsidR="001F24FC" w:rsidRDefault="001F24FC" w:rsidP="006624A9">
      <w:pPr>
        <w:pStyle w:val="a6"/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t xml:space="preserve"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 </w:t>
      </w:r>
      <w:proofErr w:type="gramEnd"/>
    </w:p>
    <w:p w:rsidR="001F24FC" w:rsidRDefault="001F24FC" w:rsidP="006624A9">
      <w:pPr>
        <w:pStyle w:val="a6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В настоящих Правилах используются следующие понятия: </w:t>
      </w:r>
    </w:p>
    <w:p w:rsidR="006624A9" w:rsidRDefault="006624A9" w:rsidP="006624A9">
      <w:pPr>
        <w:spacing w:before="100" w:beforeAutospacing="1" w:after="100" w:afterAutospacing="1"/>
        <w:jc w:val="both"/>
      </w:pPr>
      <w:r>
        <w:t>«</w:t>
      </w:r>
      <w:r w:rsidR="001F24FC">
        <w:t>сопроводительная ведомость</w:t>
      </w:r>
      <w:r>
        <w:t>»</w:t>
      </w:r>
      <w:r w:rsidR="001F24FC">
        <w:t xml:space="preserve"> </w:t>
      </w:r>
      <w:r w:rsidR="004C5921" w:rsidRPr="004C5921">
        <w:t>—</w:t>
      </w:r>
      <w:r w:rsidR="001F24FC">
        <w:t xml:space="preserve"> документ, служащий для учета и контроля использования контейнера; </w:t>
      </w:r>
    </w:p>
    <w:p w:rsidR="001F24FC" w:rsidRDefault="006624A9" w:rsidP="006624A9">
      <w:pPr>
        <w:spacing w:before="100" w:beforeAutospacing="1" w:after="100" w:afterAutospacing="1"/>
        <w:jc w:val="both"/>
      </w:pPr>
      <w:r>
        <w:t>«</w:t>
      </w:r>
      <w:r w:rsidR="001F24FC">
        <w:t>партия груза</w:t>
      </w:r>
      <w:r>
        <w:t>»</w:t>
      </w:r>
      <w:r w:rsidR="001F24FC">
        <w:t xml:space="preserve"> </w:t>
      </w:r>
      <w:r w:rsidR="004C5921" w:rsidRPr="004C5921">
        <w:t>—</w:t>
      </w:r>
      <w:r w:rsidR="001F24FC">
        <w:t xml:space="preserve"> груз одного или нескольких наименований, перевозимый по одному товарораспорядительному документу; </w:t>
      </w:r>
    </w:p>
    <w:p w:rsidR="001F24FC" w:rsidRDefault="006624A9" w:rsidP="006624A9">
      <w:pPr>
        <w:spacing w:before="100" w:beforeAutospacing="1" w:after="100" w:afterAutospacing="1"/>
        <w:jc w:val="both"/>
      </w:pPr>
      <w:r>
        <w:t>«</w:t>
      </w:r>
      <w:r w:rsidR="001F24FC">
        <w:t>грузовое место</w:t>
      </w:r>
      <w:r>
        <w:t>»</w:t>
      </w:r>
      <w:r w:rsidR="001F24FC">
        <w:t xml:space="preserve"> </w:t>
      </w:r>
      <w:r w:rsidR="004C5921" w:rsidRPr="004C5921">
        <w:t>—</w:t>
      </w:r>
      <w:r w:rsidR="001F24FC">
        <w:t xml:space="preserve"> материальный объект, принятый для перевозки; </w:t>
      </w:r>
    </w:p>
    <w:p w:rsidR="006624A9" w:rsidRDefault="006624A9" w:rsidP="006624A9">
      <w:pPr>
        <w:spacing w:before="100" w:beforeAutospacing="1" w:after="100" w:afterAutospacing="1"/>
        <w:jc w:val="both"/>
      </w:pPr>
      <w:r>
        <w:t>«</w:t>
      </w:r>
      <w:r w:rsidR="001F24FC">
        <w:t>тяжел</w:t>
      </w:r>
      <w:r>
        <w:t>овесный груз»</w:t>
      </w:r>
      <w:r w:rsidR="001F24FC">
        <w:t xml:space="preserve"> </w:t>
      </w:r>
      <w:r w:rsidR="004C5921" w:rsidRPr="004C5921">
        <w:t>—</w:t>
      </w:r>
      <w:r w:rsidR="001F24FC">
        <w:t xml:space="preserve"> груз, масса которого с учетом массы транспортного средства превышает допустимые массы транспортных средств</w:t>
      </w:r>
      <w:r w:rsidR="004C5921">
        <w:t>,</w:t>
      </w:r>
      <w:r w:rsidR="001F24FC">
        <w:t xml:space="preserve"> согласно приложению N 1</w:t>
      </w:r>
      <w:r w:rsidR="004C5921">
        <w:t>,</w:t>
      </w:r>
      <w:r w:rsidR="001F24FC">
        <w:t xml:space="preserve"> или допустимые осевые нагрузки транспортных средств</w:t>
      </w:r>
      <w:r w:rsidR="004C5921">
        <w:t>,</w:t>
      </w:r>
      <w:r w:rsidR="001F24FC">
        <w:t xml:space="preserve"> согласно приложению N 2; </w:t>
      </w:r>
    </w:p>
    <w:p w:rsidR="001F24FC" w:rsidRDefault="006624A9" w:rsidP="006624A9">
      <w:pPr>
        <w:spacing w:before="100" w:beforeAutospacing="1" w:after="100" w:afterAutospacing="1"/>
        <w:jc w:val="both"/>
      </w:pPr>
      <w:r>
        <w:t>«</w:t>
      </w:r>
      <w:r w:rsidR="001F24FC">
        <w:t>крупногабаритный груз</w:t>
      </w:r>
      <w:r>
        <w:t>»</w:t>
      </w:r>
      <w:r w:rsidR="001F24FC">
        <w:t xml:space="preserve"> </w:t>
      </w:r>
      <w:r w:rsidR="004C5921">
        <w:t>—</w:t>
      </w:r>
      <w:r w:rsidR="001F24FC">
        <w:t xml:space="preserve"> груз, который с учетом габаритов транспортного средства превышает предельно допустимые габариты транспортных средств</w:t>
      </w:r>
      <w:r w:rsidR="004C5921">
        <w:t>,</w:t>
      </w:r>
      <w:r w:rsidR="001F24FC">
        <w:t xml:space="preserve"> согласно приложению N 3; </w:t>
      </w:r>
    </w:p>
    <w:p w:rsidR="001F24FC" w:rsidRDefault="006624A9" w:rsidP="006624A9">
      <w:pPr>
        <w:spacing w:before="100" w:beforeAutospacing="1" w:after="240"/>
        <w:jc w:val="both"/>
      </w:pPr>
      <w:r>
        <w:t>«</w:t>
      </w:r>
      <w:r w:rsidR="001F24FC">
        <w:t>делимый груз</w:t>
      </w:r>
      <w:r>
        <w:t>»</w:t>
      </w:r>
      <w:r w:rsidR="001F24FC">
        <w:t xml:space="preserve"> </w:t>
      </w:r>
      <w:r w:rsidR="004C5921">
        <w:t>—</w:t>
      </w:r>
      <w:r w:rsidR="001F24FC">
        <w:t xml:space="preserve"> груз, который без потери потребительских свойств или риска его порчи может быть размещен на 2 или более грузовых местах. </w:t>
      </w:r>
    </w:p>
    <w:p w:rsidR="00DB6ECC" w:rsidRDefault="00DB6ECC">
      <w:pPr>
        <w:spacing w:after="200" w:line="276" w:lineRule="auto"/>
      </w:pPr>
      <w:r>
        <w:br w:type="page"/>
      </w:r>
    </w:p>
    <w:p w:rsidR="001F24FC" w:rsidRDefault="001F24FC" w:rsidP="001F24FC">
      <w:pPr>
        <w:jc w:val="right"/>
      </w:pPr>
      <w:r>
        <w:lastRenderedPageBreak/>
        <w:t xml:space="preserve">Приложение N 1 </w:t>
      </w:r>
      <w:r>
        <w:br/>
        <w:t xml:space="preserve">к Правилам перевозок грузов </w:t>
      </w:r>
      <w:r>
        <w:br/>
        <w:t xml:space="preserve">автомобильным транспортом </w:t>
      </w:r>
    </w:p>
    <w:p w:rsidR="001F24FC" w:rsidRDefault="001F24FC" w:rsidP="006624A9">
      <w:pPr>
        <w:jc w:val="center"/>
      </w:pPr>
      <w:r>
        <w:t>ДОПУСТИМЫЕ МАССЫ ТРАНСПОРТНЫХ СРЕДСТВ</w:t>
      </w:r>
    </w:p>
    <w:p w:rsidR="006624A9" w:rsidRDefault="006624A9" w:rsidP="001F24FC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3174"/>
      </w:tblGrid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jc w:val="center"/>
              <w:rPr>
                <w:bCs/>
                <w:sz w:val="24"/>
                <w:szCs w:val="24"/>
              </w:rPr>
            </w:pPr>
            <w:r w:rsidRPr="006624A9">
              <w:rPr>
                <w:bCs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jc w:val="center"/>
              <w:rPr>
                <w:bCs/>
                <w:sz w:val="24"/>
                <w:szCs w:val="24"/>
              </w:rPr>
            </w:pPr>
            <w:r w:rsidRPr="006624A9">
              <w:rPr>
                <w:bCs/>
              </w:rPr>
              <w:t>Допустимая масса транспортного средства, тонн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Одиночные автомобили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r w:rsidRPr="006624A9">
              <w:t>двухосные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18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r w:rsidRPr="006624A9">
              <w:t>трехосные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25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r w:rsidRPr="006624A9">
              <w:t>четырехосные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32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proofErr w:type="spellStart"/>
            <w:r w:rsidRPr="006624A9">
              <w:t>пятиосные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35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Автопоезда седельные и прицепные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r w:rsidRPr="006624A9">
              <w:t>трехосные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28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r w:rsidRPr="006624A9">
              <w:t>четырехосные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36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proofErr w:type="spellStart"/>
            <w:r w:rsidRPr="006624A9">
              <w:t>пятиосные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40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sz w:val="24"/>
                <w:szCs w:val="24"/>
              </w:rPr>
            </w:pPr>
            <w:proofErr w:type="spellStart"/>
            <w:r w:rsidRPr="006624A9">
              <w:t>шестиосные</w:t>
            </w:r>
            <w:proofErr w:type="spellEnd"/>
            <w:r w:rsidRPr="006624A9">
              <w:t xml:space="preserve"> и более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sz w:val="24"/>
                <w:szCs w:val="24"/>
              </w:rPr>
            </w:pPr>
            <w:r w:rsidRPr="006624A9">
              <w:t>44</w:t>
            </w:r>
          </w:p>
        </w:tc>
      </w:tr>
    </w:tbl>
    <w:p w:rsidR="001F24FC" w:rsidRDefault="001F24FC" w:rsidP="001F24FC">
      <w:pPr>
        <w:spacing w:after="240"/>
      </w:pPr>
    </w:p>
    <w:p w:rsidR="001F24FC" w:rsidRDefault="001F24FC" w:rsidP="001F24FC">
      <w:pPr>
        <w:jc w:val="right"/>
      </w:pPr>
      <w:r>
        <w:t xml:space="preserve">Приложение N 2 </w:t>
      </w:r>
      <w:r>
        <w:br/>
        <w:t xml:space="preserve">к Правилам перевозок грузов </w:t>
      </w:r>
      <w:r>
        <w:br/>
        <w:t xml:space="preserve">автомобильным транспортом </w:t>
      </w:r>
    </w:p>
    <w:p w:rsidR="006624A9" w:rsidRDefault="006624A9" w:rsidP="006624A9">
      <w:pPr>
        <w:jc w:val="center"/>
      </w:pPr>
    </w:p>
    <w:p w:rsidR="001F24FC" w:rsidRDefault="001F24FC" w:rsidP="006624A9">
      <w:pPr>
        <w:jc w:val="center"/>
      </w:pPr>
      <w:r>
        <w:t>ДОПУСТИМЫЕ ОСЕВЫЕ НАГРУЗКИ ТРАНСПОРТНЫХ СРЕДСТВ</w:t>
      </w:r>
    </w:p>
    <w:p w:rsidR="006624A9" w:rsidRDefault="006624A9" w:rsidP="001F24FC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663"/>
        <w:gridCol w:w="1807"/>
        <w:gridCol w:w="1791"/>
        <w:gridCol w:w="1799"/>
      </w:tblGrid>
      <w:tr w:rsidR="001F24FC" w:rsidRPr="006624A9" w:rsidTr="006624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F24FC" w:rsidRPr="006624A9" w:rsidRDefault="001F24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24A9">
              <w:rPr>
                <w:rFonts w:asciiTheme="minorHAnsi" w:hAnsiTheme="minorHAnsi" w:cstheme="minorHAnsi"/>
                <w:bCs/>
              </w:rPr>
              <w:t>Расположение осей транспортного средства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4FC" w:rsidRPr="006624A9" w:rsidRDefault="001F24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24A9">
              <w:rPr>
                <w:rFonts w:asciiTheme="minorHAnsi" w:hAnsiTheme="minorHAnsi" w:cstheme="minorHAnsi"/>
                <w:bCs/>
              </w:rPr>
              <w:t>Расстояние между сближенными осями (метров)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24FC" w:rsidRPr="006624A9" w:rsidRDefault="001F24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24A9">
              <w:rPr>
                <w:rFonts w:asciiTheme="minorHAnsi" w:hAnsiTheme="minorHAnsi" w:cstheme="minorHAnsi"/>
                <w:bCs/>
              </w:rPr>
              <w:t>Допустимые осевые нагрузки колесных транспортных сре</w:t>
            </w:r>
            <w:proofErr w:type="gramStart"/>
            <w:r w:rsidRPr="006624A9">
              <w:rPr>
                <w:rFonts w:asciiTheme="minorHAnsi" w:hAnsiTheme="minorHAnsi" w:cstheme="minorHAnsi"/>
                <w:bCs/>
              </w:rPr>
              <w:t>дств в з</w:t>
            </w:r>
            <w:proofErr w:type="gramEnd"/>
            <w:r w:rsidRPr="006624A9">
              <w:rPr>
                <w:rFonts w:asciiTheme="minorHAnsi" w:hAnsiTheme="minorHAnsi" w:cstheme="minorHAnsi"/>
                <w:bCs/>
              </w:rPr>
              <w:t>ависимости от нормативной (расчетной) осевой нагрузки (тонн) и числа колес на оси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4FC" w:rsidRPr="006624A9" w:rsidRDefault="001F24F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24A9">
              <w:rPr>
                <w:rFonts w:asciiTheme="minorHAnsi" w:hAnsiTheme="minorHAnsi" w:cstheme="minorHAnsi"/>
                <w:bCs/>
              </w:rPr>
              <w:t>для автомобильных дорог, р</w:t>
            </w:r>
            <w:r w:rsidR="004C5921">
              <w:rPr>
                <w:rFonts w:asciiTheme="minorHAnsi" w:hAnsiTheme="minorHAnsi" w:cstheme="minorHAnsi"/>
                <w:bCs/>
              </w:rPr>
              <w:t xml:space="preserve">ассчитанных на осевую нагрузку </w:t>
            </w:r>
            <w:r w:rsidRPr="006624A9">
              <w:rPr>
                <w:rFonts w:asciiTheme="minorHAnsi" w:hAnsiTheme="minorHAnsi" w:cstheme="minorHAnsi"/>
                <w:bCs/>
              </w:rPr>
              <w:t xml:space="preserve"> </w:t>
            </w:r>
            <w:r w:rsidR="004C5921">
              <w:rPr>
                <w:rFonts w:asciiTheme="minorHAnsi" w:hAnsiTheme="minorHAnsi" w:cstheme="minorHAnsi"/>
                <w:bCs/>
              </w:rPr>
              <w:t>6 </w:t>
            </w:r>
            <w:r w:rsidRPr="006624A9">
              <w:rPr>
                <w:rFonts w:asciiTheme="minorHAnsi" w:hAnsiTheme="minorHAnsi" w:cstheme="minorHAnsi"/>
                <w:bCs/>
              </w:rPr>
              <w:t>тонн/ось &lt;*&gt;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24A9">
              <w:rPr>
                <w:rFonts w:asciiTheme="minorHAnsi" w:hAnsiTheme="minorHAnsi" w:cstheme="minorHAnsi"/>
                <w:bCs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24A9">
              <w:rPr>
                <w:rFonts w:asciiTheme="minorHAnsi" w:hAnsiTheme="minorHAnsi" w:cstheme="minorHAnsi"/>
                <w:bCs/>
              </w:rPr>
              <w:t>для автомобильных дорог, рассчитанных на осевую нагрузку 11,5 тонн/ось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Одиночные оси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4C5921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5,5 (6)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9 (10)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10,5 (11,5)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Сдвоенные оси прицепов, полуприцепов, гру</w:t>
            </w:r>
            <w:r w:rsidR="004C5921">
              <w:rPr>
                <w:rFonts w:asciiTheme="minorHAnsi" w:hAnsiTheme="minorHAnsi" w:cstheme="minorHAnsi"/>
              </w:rPr>
              <w:t>зовых автомобилей, автомобилей-</w:t>
            </w:r>
            <w:r w:rsidRPr="006624A9">
              <w:rPr>
                <w:rFonts w:asciiTheme="minorHAnsi" w:hAnsiTheme="minorHAnsi" w:cstheme="minorHAnsi"/>
              </w:rPr>
              <w:t>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8 (9)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10 (11)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11,5 (12,5)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 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9 (10)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13 (14)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14 (16)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10 (11)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15 (16)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17 (18)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1,8 до 2.5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11 (12)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17 (18)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18 (20)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 xml:space="preserve">Строенные оси прицепов, полуприцепов, грузовых автомобилей, автомобилей-тягачей, седельных тягачей при расстоянии между осями (нагрузка на </w:t>
            </w:r>
            <w:r w:rsidRPr="006624A9">
              <w:rPr>
                <w:rFonts w:asciiTheme="minorHAnsi" w:hAnsiTheme="minorHAnsi" w:cstheme="minorHAnsi"/>
              </w:rPr>
              <w:lastRenderedPageBreak/>
              <w:t>тележку, сумма осевых масс)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lastRenderedPageBreak/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11 (12)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15 (16,5)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17 (18)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12 (13,5)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18 (19,5)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20 (21)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13,5 (15)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 xml:space="preserve">21 (22,5 </w:t>
            </w:r>
            <w:r w:rsidRPr="006624A9">
              <w:rPr>
                <w:rFonts w:asciiTheme="minorHAnsi" w:hAnsiTheme="minorHAnsi" w:cstheme="minorHAnsi"/>
                <w:vertAlign w:val="superscript"/>
              </w:rPr>
              <w:t>&lt;**&gt;</w:t>
            </w:r>
            <w:r w:rsidRPr="006624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23,5 (24)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 xml:space="preserve">от 1,8 до 2.5 </w:t>
            </w:r>
            <w:r w:rsidRPr="006624A9">
              <w:rPr>
                <w:rFonts w:asciiTheme="minorHAnsi" w:hAnsiTheme="minorHAnsi" w:cstheme="minorHAnsi"/>
              </w:rPr>
              <w:lastRenderedPageBreak/>
              <w:t>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lastRenderedPageBreak/>
              <w:t>15 (16)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22 (23)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25 (26)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lastRenderedPageBreak/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3,5 (4)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5 (5,5)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5,5 (6)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 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4 (4,5)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6 (6,5)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6,5 (7)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4,5 (5)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6,5 (7)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7,5 (8)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1,8 до 2.5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5 (5,5)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7 (7,5)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8,5 (9)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F24FC" w:rsidRPr="006624A9" w:rsidRDefault="001F24FC" w:rsidP="006624A9">
            <w:pPr>
              <w:jc w:val="both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11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 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12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14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24FC" w:rsidRPr="006624A9" w:rsidRDefault="001F2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от 1,8 до 2.5 (включительно)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 w:rsidP="006624A9">
            <w:pPr>
              <w:jc w:val="center"/>
              <w:rPr>
                <w:rFonts w:asciiTheme="minorHAnsi" w:hAnsiTheme="minorHAnsi" w:cstheme="minorHAnsi"/>
              </w:rPr>
            </w:pPr>
            <w:r w:rsidRPr="006624A9">
              <w:rPr>
                <w:rFonts w:asciiTheme="minorHAnsi" w:hAnsiTheme="minorHAnsi" w:cstheme="minorHAnsi"/>
              </w:rPr>
              <w:t>16</w:t>
            </w:r>
          </w:p>
        </w:tc>
      </w:tr>
    </w:tbl>
    <w:p w:rsidR="001F24FC" w:rsidRDefault="001F24FC" w:rsidP="006624A9">
      <w:pPr>
        <w:spacing w:before="100" w:beforeAutospacing="1" w:after="100" w:afterAutospacing="1"/>
        <w:jc w:val="both"/>
      </w:pPr>
      <w:r>
        <w:t xml:space="preserve"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 </w:t>
      </w:r>
    </w:p>
    <w:p w:rsidR="001F24FC" w:rsidRDefault="001F24FC" w:rsidP="006624A9">
      <w:pPr>
        <w:spacing w:before="100" w:beforeAutospacing="1" w:after="100" w:afterAutospacing="1"/>
        <w:jc w:val="both"/>
      </w:pPr>
      <w:r>
        <w:t xml:space="preserve">&lt;**&gt; Для транспортных средств с односкатными колесами, оборудованными пневматической или эквивалентной ей подвеской. </w:t>
      </w:r>
    </w:p>
    <w:p w:rsidR="004C5921" w:rsidRDefault="004C5921" w:rsidP="006624A9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Примечания</w:t>
      </w:r>
    </w:p>
    <w:p w:rsidR="001F24FC" w:rsidRDefault="001F24FC" w:rsidP="006624A9">
      <w:pPr>
        <w:spacing w:before="100" w:beforeAutospacing="1" w:after="100" w:afterAutospacing="1"/>
        <w:jc w:val="both"/>
      </w:pPr>
      <w:r>
        <w:t xml:space="preserve">1. </w:t>
      </w:r>
      <w:proofErr w:type="gramStart"/>
      <w:r>
        <w:t xml:space="preserve">В скобках приведены значения для двухскатных колес, без скобок </w:t>
      </w:r>
      <w:r w:rsidR="004C5921">
        <w:t>—</w:t>
      </w:r>
      <w:r>
        <w:t xml:space="preserve"> для односкатных. </w:t>
      </w:r>
      <w:proofErr w:type="gramEnd"/>
    </w:p>
    <w:p w:rsidR="001F24FC" w:rsidRDefault="001F24FC" w:rsidP="006624A9">
      <w:pPr>
        <w:spacing w:before="100" w:beforeAutospacing="1" w:after="100" w:afterAutospacing="1"/>
        <w:jc w:val="both"/>
      </w:pPr>
      <w:r>
        <w:t xml:space="preserve">2. Оси с односкатными и двухскатными колесами, объединенные в группу сближенных осей, следует рассматривать как сближенные оси с односкатными колесами. </w:t>
      </w:r>
    </w:p>
    <w:p w:rsidR="001F24FC" w:rsidRDefault="001F24FC" w:rsidP="006624A9">
      <w:pPr>
        <w:spacing w:before="100" w:beforeAutospacing="1" w:after="100" w:afterAutospacing="1"/>
        <w:jc w:val="both"/>
      </w:pPr>
      <w:r>
        <w:t xml:space="preserve"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 </w:t>
      </w:r>
    </w:p>
    <w:p w:rsidR="001F24FC" w:rsidRDefault="001F24FC" w:rsidP="006624A9">
      <w:pPr>
        <w:spacing w:before="100" w:beforeAutospacing="1" w:after="240"/>
        <w:jc w:val="both"/>
      </w:pPr>
      <w:r>
        <w:t xml:space="preserve"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 </w:t>
      </w:r>
    </w:p>
    <w:p w:rsidR="00DB6ECC" w:rsidRDefault="00DB6ECC">
      <w:pPr>
        <w:spacing w:after="200" w:line="276" w:lineRule="auto"/>
      </w:pPr>
      <w:r>
        <w:br w:type="page"/>
      </w:r>
    </w:p>
    <w:p w:rsidR="001F24FC" w:rsidRDefault="001F24FC" w:rsidP="001F24FC">
      <w:pPr>
        <w:jc w:val="right"/>
      </w:pPr>
      <w:r>
        <w:lastRenderedPageBreak/>
        <w:t xml:space="preserve">Приложение N 3 </w:t>
      </w:r>
      <w:r>
        <w:br/>
        <w:t xml:space="preserve">к Правилам перевозок грузов </w:t>
      </w:r>
      <w:r>
        <w:br/>
        <w:t xml:space="preserve">автомобильным транспортом </w:t>
      </w:r>
    </w:p>
    <w:p w:rsidR="001F24FC" w:rsidRDefault="001F24FC" w:rsidP="006624A9">
      <w:pPr>
        <w:jc w:val="center"/>
      </w:pPr>
      <w:r>
        <w:t>ПРЕДЕЛЬНО ДОПУСТИМЫЕ ГАБАРИТЫ ТРАНСПОРТНЫХ СРЕДСТВ</w:t>
      </w:r>
    </w:p>
    <w:p w:rsidR="006624A9" w:rsidRDefault="006624A9" w:rsidP="001F24FC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1"/>
        <w:gridCol w:w="1774"/>
      </w:tblGrid>
      <w:tr w:rsidR="001F24FC" w:rsidRPr="006624A9" w:rsidTr="006624A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F24FC" w:rsidRPr="006624A9" w:rsidRDefault="001F24FC">
            <w:pPr>
              <w:jc w:val="center"/>
              <w:rPr>
                <w:bCs/>
                <w:sz w:val="24"/>
                <w:szCs w:val="24"/>
              </w:rPr>
            </w:pPr>
            <w:r w:rsidRPr="006624A9">
              <w:rPr>
                <w:bCs/>
              </w:rPr>
              <w:t>Длина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Одиночное транспортное средство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12 метров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Прицеп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12 метров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Автопоезд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20 метров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F24FC" w:rsidRPr="006624A9" w:rsidRDefault="001F24FC">
            <w:pPr>
              <w:jc w:val="center"/>
              <w:rPr>
                <w:bCs/>
                <w:sz w:val="24"/>
                <w:szCs w:val="24"/>
              </w:rPr>
            </w:pPr>
            <w:r w:rsidRPr="006624A9">
              <w:rPr>
                <w:bCs/>
              </w:rPr>
              <w:t>Ширина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Все транспортные средства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2,55 метра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Изотермические кузова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2,6 метра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F24FC" w:rsidRPr="006624A9" w:rsidRDefault="001F24FC">
            <w:pPr>
              <w:jc w:val="center"/>
              <w:rPr>
                <w:bCs/>
                <w:sz w:val="24"/>
                <w:szCs w:val="24"/>
              </w:rPr>
            </w:pPr>
            <w:r w:rsidRPr="006624A9">
              <w:rPr>
                <w:bCs/>
              </w:rPr>
              <w:t>Высота</w:t>
            </w:r>
          </w:p>
        </w:tc>
      </w:tr>
      <w:tr w:rsidR="001F24FC" w:rsidRPr="006624A9" w:rsidTr="00662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Все транспортные средства</w:t>
            </w:r>
          </w:p>
        </w:tc>
        <w:tc>
          <w:tcPr>
            <w:tcW w:w="0" w:type="auto"/>
            <w:vAlign w:val="center"/>
            <w:hideMark/>
          </w:tcPr>
          <w:p w:rsidR="001F24FC" w:rsidRPr="006624A9" w:rsidRDefault="001F24FC">
            <w:pPr>
              <w:rPr>
                <w:sz w:val="24"/>
                <w:szCs w:val="24"/>
              </w:rPr>
            </w:pPr>
            <w:r w:rsidRPr="006624A9">
              <w:t>4 метра</w:t>
            </w:r>
          </w:p>
        </w:tc>
      </w:tr>
    </w:tbl>
    <w:p w:rsidR="001F24FC" w:rsidRDefault="001F24FC" w:rsidP="006624A9">
      <w:pPr>
        <w:spacing w:before="100" w:beforeAutospacing="1" w:after="100" w:afterAutospacing="1"/>
        <w:jc w:val="both"/>
      </w:pPr>
      <w:r>
        <w:rPr>
          <w:b/>
          <w:bCs/>
        </w:rPr>
        <w:t>Примечание.</w:t>
      </w:r>
      <w:r>
        <w:t xml:space="preserve">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 </w:t>
      </w:r>
    </w:p>
    <w:p w:rsidR="001F24FC" w:rsidRDefault="001F24FC" w:rsidP="00DB6ECC"/>
    <w:p w:rsidR="00610C19" w:rsidRDefault="003A7BA3" w:rsidP="006624A9"/>
    <w:sectPr w:rsidR="0061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35F"/>
    <w:multiLevelType w:val="multilevel"/>
    <w:tmpl w:val="CCA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EF5"/>
    <w:multiLevelType w:val="hybridMultilevel"/>
    <w:tmpl w:val="A7A8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8CA"/>
    <w:multiLevelType w:val="hybridMultilevel"/>
    <w:tmpl w:val="688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5782"/>
    <w:multiLevelType w:val="multilevel"/>
    <w:tmpl w:val="E0E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94335"/>
    <w:multiLevelType w:val="multilevel"/>
    <w:tmpl w:val="06D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C"/>
    <w:rsid w:val="001653AE"/>
    <w:rsid w:val="001F24FC"/>
    <w:rsid w:val="003A7BA3"/>
    <w:rsid w:val="004C5921"/>
    <w:rsid w:val="0063053E"/>
    <w:rsid w:val="006624A9"/>
    <w:rsid w:val="006E609B"/>
    <w:rsid w:val="00D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Лавшук Ксения</dc:creator>
  <cp:lastModifiedBy>Мурыгина Анна</cp:lastModifiedBy>
  <cp:revision>2</cp:revision>
  <dcterms:created xsi:type="dcterms:W3CDTF">2016-12-07T07:38:00Z</dcterms:created>
  <dcterms:modified xsi:type="dcterms:W3CDTF">2016-12-07T07:38:00Z</dcterms:modified>
</cp:coreProperties>
</file>